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Actividad inicial:  ¿quién, qué y por qué?</w:t>
      </w:r>
    </w:p>
    <w:p w:rsidR="00000000" w:rsidDel="00000000" w:rsidP="00000000" w:rsidRDefault="00000000" w:rsidRPr="00000000" w14:paraId="00000002">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actualidad hay muchos grupos publicando y compartiendo información en línea con distintos motivos e intenciones.</w:t>
      </w:r>
    </w:p>
    <w:p w:rsidR="00000000" w:rsidDel="00000000" w:rsidP="00000000" w:rsidRDefault="00000000" w:rsidRPr="00000000" w14:paraId="00000003">
      <w:pPr>
        <w:spacing w:after="200" w:line="276"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Parte 1: Tipos de Fuentes</w:t>
      </w:r>
    </w:p>
    <w:p w:rsidR="00000000" w:rsidDel="00000000" w:rsidP="00000000" w:rsidRDefault="00000000" w:rsidRPr="00000000" w14:paraId="0000000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siguiente cuadro, relaciona las fuentes de información con las definiciones que se presentan debajo.</w:t>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tl w:val="0"/>
        </w:rPr>
      </w:r>
    </w:p>
    <w:tbl>
      <w:tblPr>
        <w:tblStyle w:val="Table1"/>
        <w:tblW w:w="92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5"/>
        <w:tblGridChange w:id="0">
          <w:tblGrid>
            <w:gridCol w:w="9255"/>
          </w:tblGrid>
        </w:tblGridChange>
      </w:tblGrid>
      <w:tr>
        <w:trPr>
          <w:trHeight w:val="750" w:hRule="atLeast"/>
        </w:trPr>
        <w:tc>
          <w:tcPr>
            <w:vAlign w:val="center"/>
          </w:tcPr>
          <w:p w:rsidR="00000000" w:rsidDel="00000000" w:rsidP="00000000" w:rsidRDefault="00000000" w:rsidRPr="00000000" w14:paraId="0000000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Grupos de Lobby          Negocios            Gobierno         Medios de Comunicación   </w:t>
            </w:r>
          </w:p>
          <w:p w:rsidR="00000000" w:rsidDel="00000000" w:rsidP="00000000" w:rsidRDefault="00000000" w:rsidRPr="00000000" w14:paraId="0000000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Fuentes de consulta      Grupos de Investigación        Centros de Pensamiento (Think Tank)        </w:t>
            </w:r>
          </w:p>
        </w:tc>
      </w:tr>
    </w:tbl>
    <w:p w:rsidR="00000000" w:rsidDel="00000000" w:rsidP="00000000" w:rsidRDefault="00000000" w:rsidRPr="00000000" w14:paraId="00000008">
      <w:pPr>
        <w:spacing w:line="276" w:lineRule="auto"/>
        <w:rPr>
          <w:rFonts w:ascii="Calibri" w:cs="Calibri" w:eastAsia="Calibri" w:hAnsi="Calibri"/>
          <w:sz w:val="24"/>
          <w:szCs w:val="24"/>
        </w:rPr>
      </w:pPr>
      <w:r w:rsidDel="00000000" w:rsidR="00000000" w:rsidRPr="00000000">
        <w:rPr>
          <w:rtl w:val="0"/>
        </w:rPr>
      </w:r>
    </w:p>
    <w:tbl>
      <w:tblPr>
        <w:tblStyle w:val="Table2"/>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946"/>
        <w:tblGridChange w:id="0">
          <w:tblGrid>
            <w:gridCol w:w="2405"/>
            <w:gridCol w:w="6946"/>
          </w:tblGrid>
        </w:tblGridChange>
      </w:tblGrid>
      <w:tr>
        <w:tc>
          <w:tcP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TÉRMINO </w:t>
            </w:r>
          </w:p>
        </w:tc>
        <w:tc>
          <w:tcPr>
            <w:vAlign w:val="center"/>
          </w:tcPr>
          <w:p w:rsidR="00000000" w:rsidDel="00000000" w:rsidP="00000000" w:rsidRDefault="00000000" w:rsidRPr="00000000" w14:paraId="0000000A">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DEFINICIÓN</w:t>
            </w:r>
          </w:p>
        </w:tc>
      </w:tr>
      <w:tr>
        <w:tc>
          <w:tcPr>
            <w:vAlign w:val="center"/>
          </w:tcPr>
          <w:p w:rsidR="00000000" w:rsidDel="00000000" w:rsidP="00000000" w:rsidRDefault="00000000" w:rsidRPr="00000000" w14:paraId="0000000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0E">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Grupos que publican noticias e información sobre acontecimientos y eventos de actualidad.</w:t>
            </w:r>
          </w:p>
        </w:tc>
      </w:tr>
      <w:tr>
        <w:trPr>
          <w:trHeight w:val="420" w:hRule="atLeast"/>
        </w:trPr>
        <w:tc>
          <w:tcPr>
            <w:vAlign w:val="center"/>
          </w:tcPr>
          <w:p w:rsidR="00000000" w:rsidDel="00000000" w:rsidP="00000000" w:rsidRDefault="00000000" w:rsidRPr="00000000" w14:paraId="0000000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1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Personas que trabajan juntos para vender productos o servicios.</w:t>
            </w:r>
          </w:p>
        </w:tc>
      </w:tr>
      <w:tr>
        <w:tc>
          <w:tcPr>
            <w:vAlign w:val="center"/>
          </w:tcPr>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1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Personas e instituciones que dirigen un país o una comunidad, incluyendo a los servidores públicos, políticos y agencias gubernamentales.</w:t>
            </w:r>
          </w:p>
        </w:tc>
      </w:tr>
      <w:tr>
        <w:tc>
          <w:tcPr>
            <w:vAlign w:val="center"/>
          </w:tcPr>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Fuentes fiables de las que se puede obtener información (acontecimientos, definiciones, fechas, detalles) sobre temas, organizaciones o personas. </w:t>
            </w:r>
          </w:p>
        </w:tc>
      </w:tr>
      <w:tr>
        <w:tc>
          <w:tcPr>
            <w:vAlign w:val="center"/>
          </w:tcPr>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1D">
            <w:pPr>
              <w:tabs>
                <w:tab w:val="left" w:pos="1080"/>
              </w:tabs>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grupo que estudia temas de  política y provee información relacionada con ello, así como ideas y sugerencias. Usualmente se encuentra asociado con una ideología o perspectiva política concreta.</w:t>
            </w:r>
          </w:p>
        </w:tc>
      </w:tr>
      <w:tr>
        <w:tc>
          <w:tcPr>
            <w:vAlign w:val="center"/>
          </w:tcPr>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1">
            <w:pPr>
              <w:tabs>
                <w:tab w:val="left" w:pos="1080"/>
              </w:tabs>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Grupo con intereses comunes que realiza acciones dirigidas a influir ante la Administración Pública.</w:t>
            </w:r>
          </w:p>
        </w:tc>
      </w:tr>
      <w:tr>
        <w:trPr>
          <w:trHeight w:val="1080" w:hRule="atLeast"/>
        </w:trPr>
        <w:tc>
          <w:tcPr>
            <w:vAlign w:val="center"/>
          </w:tcPr>
          <w:p w:rsidR="00000000" w:rsidDel="00000000" w:rsidP="00000000" w:rsidRDefault="00000000" w:rsidRPr="00000000" w14:paraId="0000002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grupo de investigadores, normalmente de una misma universidad, que trabajan juntos en un tema en particular.</w:t>
            </w:r>
          </w:p>
        </w:tc>
      </w:tr>
    </w:tbl>
    <w:p w:rsidR="00000000" w:rsidDel="00000000" w:rsidP="00000000" w:rsidRDefault="00000000" w:rsidRPr="00000000" w14:paraId="00000027">
      <w:pPr>
        <w:spacing w:line="276"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Parte 2: ¿quién produjo esto y porqué?</w:t>
      </w:r>
      <w:r w:rsidDel="00000000" w:rsidR="00000000" w:rsidRPr="00000000">
        <w:rPr>
          <w:rtl w:val="0"/>
        </w:rPr>
      </w:r>
    </w:p>
    <w:p w:rsidR="00000000" w:rsidDel="00000000" w:rsidP="00000000" w:rsidRDefault="00000000" w:rsidRPr="00000000" w14:paraId="00000029">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cada ejemplo, identifica el nombre y el tipo de fuente junto con la motivación detrás de cada contenido.</w:t>
      </w:r>
    </w:p>
    <w:p w:rsidR="00000000" w:rsidDel="00000000" w:rsidP="00000000" w:rsidRDefault="00000000" w:rsidRPr="00000000" w14:paraId="0000002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motivos pueden incluir: </w:t>
      </w:r>
    </w:p>
    <w:p w:rsidR="00000000" w:rsidDel="00000000" w:rsidP="00000000" w:rsidRDefault="00000000" w:rsidRPr="00000000" w14:paraId="0000002B">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Informar</w:t>
      </w:r>
    </w:p>
    <w:p w:rsidR="00000000" w:rsidDel="00000000" w:rsidP="00000000" w:rsidRDefault="00000000" w:rsidRPr="00000000" w14:paraId="0000002C">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Entretener</w:t>
      </w:r>
    </w:p>
    <w:p w:rsidR="00000000" w:rsidDel="00000000" w:rsidP="00000000" w:rsidRDefault="00000000" w:rsidRPr="00000000" w14:paraId="0000002D">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Persuadir o Influenciar</w:t>
      </w:r>
      <w:r w:rsidDel="00000000" w:rsidR="00000000" w:rsidRPr="00000000">
        <w:rPr>
          <w:rtl w:val="0"/>
        </w:rPr>
      </w:r>
    </w:p>
    <w:p w:rsidR="00000000" w:rsidDel="00000000" w:rsidP="00000000" w:rsidRDefault="00000000" w:rsidRPr="00000000" w14:paraId="0000002E">
      <w:pPr>
        <w:numPr>
          <w:ilvl w:val="0"/>
          <w:numId w:val="1"/>
        </w:numPr>
        <w:spacing w:after="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Vender</w:t>
      </w:r>
    </w:p>
    <w:tbl>
      <w:tblPr>
        <w:tblStyle w:val="Table3"/>
        <w:tblW w:w="9349.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2268"/>
        <w:gridCol w:w="2552"/>
        <w:gridCol w:w="2834"/>
        <w:tblGridChange w:id="0">
          <w:tblGrid>
            <w:gridCol w:w="1696"/>
            <w:gridCol w:w="2268"/>
            <w:gridCol w:w="2552"/>
            <w:gridCol w:w="2834"/>
          </w:tblGrid>
        </w:tblGridChange>
      </w:tblGrid>
      <w:tr>
        <w:trPr>
          <w:trHeight w:val="283.46456692913387" w:hRule="atLeast"/>
        </w:trPr>
        <w:tc>
          <w:tcPr>
            <w:vAlign w:val="center"/>
          </w:tcPr>
          <w:p w:rsidR="00000000" w:rsidDel="00000000" w:rsidP="00000000" w:rsidRDefault="00000000" w:rsidRPr="00000000" w14:paraId="0000002F">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Enlace</w:t>
            </w:r>
          </w:p>
        </w:tc>
        <w:tc>
          <w:tcPr>
            <w:vAlign w:val="center"/>
          </w:tcPr>
          <w:p w:rsidR="00000000" w:rsidDel="00000000" w:rsidP="00000000" w:rsidRDefault="00000000" w:rsidRPr="00000000" w14:paraId="00000030">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de la fuente</w:t>
            </w:r>
          </w:p>
        </w:tc>
        <w:tc>
          <w:tcPr>
            <w:vAlign w:val="center"/>
          </w:tcPr>
          <w:p w:rsidR="00000000" w:rsidDel="00000000" w:rsidP="00000000" w:rsidRDefault="00000000" w:rsidRPr="00000000" w14:paraId="00000031">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Tipo de Fuente</w:t>
            </w:r>
          </w:p>
        </w:tc>
        <w:tc>
          <w:tcPr>
            <w:vAlign w:val="center"/>
          </w:tcPr>
          <w:p w:rsidR="00000000" w:rsidDel="00000000" w:rsidP="00000000" w:rsidRDefault="00000000" w:rsidRPr="00000000" w14:paraId="00000032">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Motivo</w:t>
            </w:r>
          </w:p>
        </w:tc>
      </w:tr>
      <w:tr>
        <w:trPr>
          <w:trHeight w:val="645" w:hRule="atLeast"/>
        </w:trPr>
        <w:tc>
          <w:tcPr>
            <w:vAlign w:val="center"/>
          </w:tcPr>
          <w:p w:rsidR="00000000" w:rsidDel="00000000" w:rsidP="00000000" w:rsidRDefault="00000000" w:rsidRPr="00000000" w14:paraId="00000033">
            <w:pPr>
              <w:spacing w:line="276" w:lineRule="auto"/>
              <w:jc w:val="center"/>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Ejemplo 1</w:t>
              </w:r>
            </w:hyperlink>
            <w:r w:rsidDel="00000000" w:rsidR="00000000" w:rsidRPr="00000000">
              <w:rPr>
                <w:rtl w:val="0"/>
              </w:rPr>
            </w:r>
          </w:p>
        </w:tc>
        <w:tc>
          <w:tcPr/>
          <w:p w:rsidR="00000000" w:rsidDel="00000000" w:rsidP="00000000" w:rsidRDefault="00000000" w:rsidRPr="00000000" w14:paraId="00000034">
            <w:pPr>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5">
            <w:pPr>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6">
            <w:pPr>
              <w:spacing w:line="276" w:lineRule="auto"/>
              <w:rPr>
                <w:rFonts w:ascii="Calibri" w:cs="Calibri" w:eastAsia="Calibri" w:hAnsi="Calibri"/>
                <w:sz w:val="24"/>
                <w:szCs w:val="24"/>
              </w:rPr>
            </w:pPr>
            <w:r w:rsidDel="00000000" w:rsidR="00000000" w:rsidRPr="00000000">
              <w:rPr>
                <w:rtl w:val="0"/>
              </w:rPr>
            </w:r>
          </w:p>
        </w:tc>
      </w:tr>
      <w:tr>
        <w:trPr>
          <w:trHeight w:val="705" w:hRule="atLeast"/>
        </w:trPr>
        <w:tc>
          <w:tcPr>
            <w:vAlign w:val="center"/>
          </w:tcPr>
          <w:p w:rsidR="00000000" w:rsidDel="00000000" w:rsidP="00000000" w:rsidRDefault="00000000" w:rsidRPr="00000000" w14:paraId="00000037">
            <w:pPr>
              <w:spacing w:line="276" w:lineRule="auto"/>
              <w:jc w:val="center"/>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Ejemplo 2</w:t>
              </w:r>
            </w:hyperlink>
            <w:r w:rsidDel="00000000" w:rsidR="00000000" w:rsidRPr="00000000">
              <w:rPr>
                <w:rtl w:val="0"/>
              </w:rPr>
            </w:r>
          </w:p>
        </w:tc>
        <w:tc>
          <w:tcPr/>
          <w:p w:rsidR="00000000" w:rsidDel="00000000" w:rsidP="00000000" w:rsidRDefault="00000000" w:rsidRPr="00000000" w14:paraId="00000038">
            <w:pPr>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9">
            <w:pPr>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A">
            <w:pPr>
              <w:spacing w:line="276" w:lineRule="auto"/>
              <w:rPr>
                <w:rFonts w:ascii="Calibri" w:cs="Calibri" w:eastAsia="Calibri" w:hAnsi="Calibri"/>
                <w:sz w:val="24"/>
                <w:szCs w:val="24"/>
              </w:rPr>
            </w:pPr>
            <w:r w:rsidDel="00000000" w:rsidR="00000000" w:rsidRPr="00000000">
              <w:rPr>
                <w:rtl w:val="0"/>
              </w:rPr>
            </w:r>
          </w:p>
        </w:tc>
      </w:tr>
      <w:tr>
        <w:trPr>
          <w:trHeight w:val="720" w:hRule="atLeast"/>
        </w:trPr>
        <w:tc>
          <w:tcPr>
            <w:vAlign w:val="center"/>
          </w:tcPr>
          <w:p w:rsidR="00000000" w:rsidDel="00000000" w:rsidP="00000000" w:rsidRDefault="00000000" w:rsidRPr="00000000" w14:paraId="0000003B">
            <w:pPr>
              <w:spacing w:line="276" w:lineRule="auto"/>
              <w:jc w:val="center"/>
              <w:rPr>
                <w:rFonts w:ascii="Calibri" w:cs="Calibri" w:eastAsia="Calibri" w:hAnsi="Calibri"/>
                <w:sz w:val="24"/>
                <w:szCs w:val="24"/>
              </w:rPr>
            </w:pPr>
            <w:hyperlink r:id="rId8">
              <w:r w:rsidDel="00000000" w:rsidR="00000000" w:rsidRPr="00000000">
                <w:rPr>
                  <w:rFonts w:ascii="Calibri" w:cs="Calibri" w:eastAsia="Calibri" w:hAnsi="Calibri"/>
                  <w:color w:val="1155cc"/>
                  <w:sz w:val="24"/>
                  <w:szCs w:val="24"/>
                  <w:u w:val="single"/>
                  <w:rtl w:val="0"/>
                </w:rPr>
                <w:t xml:space="preserve">Ejemplo 3</w:t>
              </w:r>
            </w:hyperlink>
            <w:r w:rsidDel="00000000" w:rsidR="00000000" w:rsidRPr="00000000">
              <w:rPr>
                <w:rtl w:val="0"/>
              </w:rPr>
            </w:r>
          </w:p>
        </w:tc>
        <w:tc>
          <w:tcPr/>
          <w:p w:rsidR="00000000" w:rsidDel="00000000" w:rsidP="00000000" w:rsidRDefault="00000000" w:rsidRPr="00000000" w14:paraId="0000003C">
            <w:pPr>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D">
            <w:pPr>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E">
            <w:pPr>
              <w:spacing w:line="276" w:lineRule="auto"/>
              <w:rPr>
                <w:rFonts w:ascii="Calibri" w:cs="Calibri" w:eastAsia="Calibri" w:hAnsi="Calibri"/>
                <w:sz w:val="24"/>
                <w:szCs w:val="24"/>
              </w:rPr>
            </w:pPr>
            <w:r w:rsidDel="00000000" w:rsidR="00000000" w:rsidRPr="00000000">
              <w:rPr>
                <w:rtl w:val="0"/>
              </w:rPr>
            </w:r>
          </w:p>
        </w:tc>
      </w:tr>
      <w:tr>
        <w:trPr>
          <w:trHeight w:val="720" w:hRule="atLeast"/>
        </w:trPr>
        <w:tc>
          <w:tcPr>
            <w:vAlign w:val="center"/>
          </w:tcPr>
          <w:p w:rsidR="00000000" w:rsidDel="00000000" w:rsidP="00000000" w:rsidRDefault="00000000" w:rsidRPr="00000000" w14:paraId="0000003F">
            <w:pPr>
              <w:spacing w:line="276" w:lineRule="auto"/>
              <w:jc w:val="center"/>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Ejemplo 4</w:t>
              </w:r>
            </w:hyperlink>
            <w:r w:rsidDel="00000000" w:rsidR="00000000" w:rsidRPr="00000000">
              <w:rPr>
                <w:rtl w:val="0"/>
              </w:rPr>
            </w:r>
          </w:p>
        </w:tc>
        <w:tc>
          <w:tcPr/>
          <w:p w:rsidR="00000000" w:rsidDel="00000000" w:rsidP="00000000" w:rsidRDefault="00000000" w:rsidRPr="00000000" w14:paraId="00000040">
            <w:pPr>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1">
            <w:pPr>
              <w:spacing w:line="276"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42">
            <w:pPr>
              <w:spacing w:line="276" w:lineRule="auto"/>
              <w:rPr>
                <w:rFonts w:ascii="Calibri" w:cs="Calibri" w:eastAsia="Calibri" w:hAnsi="Calibri"/>
                <w:sz w:val="24"/>
                <w:szCs w:val="24"/>
              </w:rPr>
            </w:pPr>
            <w:r w:rsidDel="00000000" w:rsidR="00000000" w:rsidRPr="00000000">
              <w:rPr>
                <w:rtl w:val="0"/>
              </w:rPr>
            </w:r>
          </w:p>
        </w:tc>
      </w:tr>
      <w:tr>
        <w:trPr>
          <w:trHeight w:val="795" w:hRule="atLeast"/>
        </w:trPr>
        <w:tc>
          <w:tcPr>
            <w:vAlign w:val="center"/>
          </w:tcPr>
          <w:p w:rsidR="00000000" w:rsidDel="00000000" w:rsidP="00000000" w:rsidRDefault="00000000" w:rsidRPr="00000000" w14:paraId="00000043">
            <w:pPr>
              <w:spacing w:line="276" w:lineRule="auto"/>
              <w:jc w:val="center"/>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Ejemplo 5</w:t>
              </w:r>
            </w:hyperlink>
            <w:r w:rsidDel="00000000" w:rsidR="00000000" w:rsidRPr="00000000">
              <w:rPr>
                <w:rtl w:val="0"/>
              </w:rPr>
            </w:r>
          </w:p>
        </w:tc>
        <w:tc>
          <w:tcPr/>
          <w:p w:rsidR="00000000" w:rsidDel="00000000" w:rsidP="00000000" w:rsidRDefault="00000000" w:rsidRPr="00000000" w14:paraId="00000044">
            <w:pPr>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5">
            <w:pPr>
              <w:spacing w:line="276"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46">
            <w:pPr>
              <w:spacing w:line="276" w:lineRule="auto"/>
              <w:rPr>
                <w:rFonts w:ascii="Calibri" w:cs="Calibri" w:eastAsia="Calibri" w:hAnsi="Calibri"/>
                <w:sz w:val="24"/>
                <w:szCs w:val="24"/>
              </w:rPr>
            </w:pPr>
            <w:r w:rsidDel="00000000" w:rsidR="00000000" w:rsidRPr="00000000">
              <w:rPr>
                <w:rtl w:val="0"/>
              </w:rPr>
            </w:r>
          </w:p>
        </w:tc>
      </w:tr>
      <w:tr>
        <w:trPr>
          <w:trHeight w:val="795" w:hRule="atLeast"/>
        </w:trPr>
        <w:tc>
          <w:tcPr>
            <w:vAlign w:val="center"/>
          </w:tcPr>
          <w:p w:rsidR="00000000" w:rsidDel="00000000" w:rsidP="00000000" w:rsidRDefault="00000000" w:rsidRPr="00000000" w14:paraId="00000047">
            <w:pPr>
              <w:spacing w:line="276" w:lineRule="auto"/>
              <w:jc w:val="center"/>
              <w:rPr>
                <w:rFonts w:ascii="Calibri" w:cs="Calibri" w:eastAsia="Calibri" w:hAnsi="Calibri"/>
                <w:sz w:val="24"/>
                <w:szCs w:val="24"/>
              </w:rPr>
            </w:pPr>
            <w:hyperlink r:id="rId11">
              <w:r w:rsidDel="00000000" w:rsidR="00000000" w:rsidRPr="00000000">
                <w:rPr>
                  <w:rFonts w:ascii="Calibri" w:cs="Calibri" w:eastAsia="Calibri" w:hAnsi="Calibri"/>
                  <w:color w:val="1155cc"/>
                  <w:sz w:val="24"/>
                  <w:szCs w:val="24"/>
                  <w:u w:val="single"/>
                  <w:rtl w:val="0"/>
                </w:rPr>
                <w:t xml:space="preserve">Ejemplo 6</w:t>
              </w:r>
            </w:hyperlink>
            <w:r w:rsidDel="00000000" w:rsidR="00000000" w:rsidRPr="00000000">
              <w:rPr>
                <w:rtl w:val="0"/>
              </w:rPr>
            </w:r>
          </w:p>
        </w:tc>
        <w:tc>
          <w:tcPr/>
          <w:p w:rsidR="00000000" w:rsidDel="00000000" w:rsidP="00000000" w:rsidRDefault="00000000" w:rsidRPr="00000000" w14:paraId="00000048">
            <w:pPr>
              <w:spacing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9">
            <w:pPr>
              <w:spacing w:line="276"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4A">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Cierre de actividad</w:t>
      </w:r>
      <w:r w:rsidDel="00000000" w:rsidR="00000000" w:rsidRPr="00000000">
        <w:rPr>
          <w:rFonts w:ascii="Calibri" w:cs="Calibri" w:eastAsia="Calibri" w:hAnsi="Calibri"/>
          <w:sz w:val="24"/>
          <w:szCs w:val="24"/>
          <w:rtl w:val="0"/>
        </w:rPr>
        <w:t xml:space="preserve">: A veces, es difícil descubrir la motivación detrás de una fuente o el propósito de un contenido. Los sitios web, en particular, no siempre son claros acerca de su intención. Si un sitio nos quiere influenciar o persuadir, con frecuencia no hará evidente su motivación explícitamente, por lo que no siempre podemos confiar en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sz w:val="24"/>
          <w:szCs w:val="24"/>
          <w:rtl w:val="0"/>
        </w:rPr>
        <w:t xml:space="preserve"> “Acerca de nosotros" de un sitio para contarnos la historia completa. La buena noticia es que hay algunas habilidades que podemos aprender para hacer que las fuentes de investigación sean más fáciles, más rápidas y más eficientes. En el próximo video, la periodista de El Universal y coordinadora del programa Prensa Escuela, Melissa Mendoza, le presentará una técnica para ayudarle a identificar la reputación de una fuente.</w:t>
      </w:r>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pPr>
    <w:r w:rsidDel="00000000" w:rsidR="00000000" w:rsidRPr="00000000">
      <w:rPr/>
      <w:drawing>
        <wp:inline distB="114300" distT="114300" distL="114300" distR="114300">
          <wp:extent cx="873243" cy="433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3243" cy="433388"/>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es.wikipedia.org/wiki/Pandemia_de_enfermedad_por_coronavirus_de_2019-2020" TargetMode="External"/><Relationship Id="rId10" Type="http://schemas.openxmlformats.org/officeDocument/2006/relationships/hyperlink" Target="https://icpcolombia.org/tendencia/volver-al-trabajo/" TargetMode="External"/><Relationship Id="rId12" Type="http://schemas.openxmlformats.org/officeDocument/2006/relationships/header" Target="header1.xml"/><Relationship Id="rId9" Type="http://schemas.openxmlformats.org/officeDocument/2006/relationships/hyperlink" Target="https://www.change.org/p/minsaludcol-garant%C3%ADasdebioseguridad-brinden-urgente-elementos-de-bioseguridad-obligatoria-para-trabajadores-de-la-salud-que-atienden-covid-19-firmat%C3%B3npornuestrosh%C3%A9roes-act%C3%BAaencasa-mintrabajocol-minsaludcol-angelccabrera-fruizgomez?recruiter=750600244&amp;recruited_by_id=87258ff0-7277-11e7-a232-0192aba4daf1" TargetMode="External"/><Relationship Id="rId5" Type="http://schemas.openxmlformats.org/officeDocument/2006/relationships/styles" Target="styles.xml"/><Relationship Id="rId6" Type="http://schemas.openxmlformats.org/officeDocument/2006/relationships/hyperlink" Target="https://www.enter.co/chips-bits/apps-software/tik-tok-anuncia-donacion-por-375-millones-para-ayudar-a-la-crisis-por-coronavirus/" TargetMode="External"/><Relationship Id="rId7" Type="http://schemas.openxmlformats.org/officeDocument/2006/relationships/hyperlink" Target="https://actualidadpanamericana.com/por-solo-5-000-adicionales-domicilios-podran-venir-sin-covid19/" TargetMode="External"/><Relationship Id="rId8" Type="http://schemas.openxmlformats.org/officeDocument/2006/relationships/hyperlink" Target="https://molinatural.com/alimetos-que-debes-consumir-para-fortalecer-el-sistema-inmunolog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